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BD" w:rsidRDefault="003235BD" w:rsidP="003235BD">
      <w:pPr>
        <w:pStyle w:val="Heading1"/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620140" cy="990600"/>
            <wp:effectExtent l="0" t="0" r="0" b="0"/>
            <wp:docPr id="1" name="Picture 1" descr="Woking Borough Council logo" title="Woking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king Borough Council 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248" cy="101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17D" w:rsidRDefault="00A6717D" w:rsidP="003235BD">
      <w:pPr>
        <w:spacing w:after="0"/>
      </w:pPr>
    </w:p>
    <w:p w:rsidR="00FB46A4" w:rsidRDefault="00FB46A4" w:rsidP="003235BD">
      <w:pPr>
        <w:spacing w:after="0"/>
      </w:pPr>
    </w:p>
    <w:p w:rsidR="00FB46A4" w:rsidRPr="00FB46A4" w:rsidRDefault="00FB46A4" w:rsidP="00FB46A4">
      <w:pPr>
        <w:pStyle w:val="Title"/>
      </w:pPr>
      <w:r w:rsidRPr="00FB46A4">
        <w:t xml:space="preserve">Members’ code of conduct: </w:t>
      </w:r>
    </w:p>
    <w:p w:rsidR="00FB46A4" w:rsidRPr="00FB46A4" w:rsidRDefault="00FB46A4" w:rsidP="00FB46A4">
      <w:pPr>
        <w:pStyle w:val="Title"/>
      </w:pPr>
      <w:r w:rsidRPr="00FB46A4">
        <w:t>Protocol for complaints submitted by members</w:t>
      </w:r>
    </w:p>
    <w:p w:rsidR="00FB46A4" w:rsidRDefault="00FB46A4" w:rsidP="00FB46A4">
      <w:pPr>
        <w:spacing w:after="0"/>
      </w:pPr>
      <w:r>
        <w:tab/>
      </w:r>
    </w:p>
    <w:p w:rsidR="00FB46A4" w:rsidRDefault="00FB46A4" w:rsidP="00FB46A4">
      <w:pPr>
        <w:spacing w:after="0"/>
      </w:pPr>
    </w:p>
    <w:p w:rsidR="00FB46A4" w:rsidRPr="00FB46A4" w:rsidRDefault="00FB46A4" w:rsidP="00FB46A4">
      <w:pPr>
        <w:pStyle w:val="Heading1"/>
      </w:pPr>
      <w:r w:rsidRPr="00FB46A4">
        <w:t>1.</w:t>
      </w:r>
      <w:r w:rsidRPr="00FB46A4">
        <w:tab/>
        <w:t>Introduction</w:t>
      </w:r>
    </w:p>
    <w:p w:rsidR="00FB46A4" w:rsidRDefault="00FB46A4" w:rsidP="00FB46A4">
      <w:pPr>
        <w:spacing w:after="0"/>
      </w:pPr>
    </w:p>
    <w:p w:rsidR="00FB46A4" w:rsidRDefault="00FB46A4" w:rsidP="00FB46A4">
      <w:pPr>
        <w:spacing w:after="0"/>
        <w:ind w:left="720" w:hanging="720"/>
      </w:pPr>
      <w:r>
        <w:t>1.1</w:t>
      </w:r>
      <w:r>
        <w:tab/>
        <w:t xml:space="preserve">The council has adopted a members’ code of conduct that sets out the standards of behaviour expected of members. </w:t>
      </w:r>
    </w:p>
    <w:p w:rsidR="00FB46A4" w:rsidRDefault="00FB46A4" w:rsidP="00FB46A4">
      <w:pPr>
        <w:spacing w:after="0"/>
      </w:pPr>
    </w:p>
    <w:p w:rsidR="00FB46A4" w:rsidRDefault="00FB46A4" w:rsidP="00FB46A4">
      <w:pPr>
        <w:spacing w:after="0"/>
        <w:ind w:left="720" w:hanging="720"/>
      </w:pPr>
      <w:r>
        <w:t>1.2</w:t>
      </w:r>
      <w:r>
        <w:tab/>
        <w:t xml:space="preserve">The council has also adopted ‘Arrangements for dealing with standards allegations under the Localism Act 2011’ (‘Arrangements’). </w:t>
      </w:r>
    </w:p>
    <w:p w:rsidR="00FB46A4" w:rsidRDefault="00FB46A4" w:rsidP="00FB46A4">
      <w:pPr>
        <w:spacing w:after="0"/>
      </w:pPr>
    </w:p>
    <w:p w:rsidR="00FB46A4" w:rsidRDefault="00FB46A4" w:rsidP="00FB46A4">
      <w:pPr>
        <w:spacing w:after="0"/>
        <w:ind w:left="720" w:hanging="720"/>
      </w:pPr>
      <w:r>
        <w:t>1.3</w:t>
      </w:r>
      <w:r>
        <w:tab/>
        <w:t xml:space="preserve">This protocol applies to complaints submitted, under the members’ code of conduct, by a member against another member. </w:t>
      </w:r>
    </w:p>
    <w:p w:rsidR="00FB46A4" w:rsidRDefault="00FB46A4" w:rsidP="00FB46A4">
      <w:pPr>
        <w:spacing w:after="0"/>
      </w:pPr>
    </w:p>
    <w:p w:rsidR="00FB46A4" w:rsidRPr="00FB46A4" w:rsidRDefault="00FB46A4" w:rsidP="00FB46A4">
      <w:pPr>
        <w:pStyle w:val="Heading1"/>
      </w:pPr>
      <w:r w:rsidRPr="00FB46A4">
        <w:t>2.</w:t>
      </w:r>
      <w:r w:rsidRPr="00FB46A4">
        <w:tab/>
        <w:t>Confidentiality</w:t>
      </w:r>
    </w:p>
    <w:p w:rsidR="00FB46A4" w:rsidRDefault="00FB46A4" w:rsidP="00FB46A4">
      <w:pPr>
        <w:spacing w:after="0"/>
      </w:pPr>
    </w:p>
    <w:p w:rsidR="00FB46A4" w:rsidRDefault="00FB46A4" w:rsidP="00FB46A4">
      <w:pPr>
        <w:spacing w:after="0"/>
      </w:pPr>
      <w:r>
        <w:t>2.1</w:t>
      </w:r>
      <w:r>
        <w:tab/>
        <w:t>Member complaints against another member shall be confidential to:</w:t>
      </w:r>
    </w:p>
    <w:p w:rsidR="00FB46A4" w:rsidRDefault="00FB46A4" w:rsidP="00FB46A4">
      <w:pPr>
        <w:spacing w:after="0"/>
      </w:pPr>
    </w:p>
    <w:p w:rsidR="00FB46A4" w:rsidRDefault="00FB46A4" w:rsidP="00FB46A4">
      <w:pPr>
        <w:spacing w:after="0"/>
        <w:ind w:left="1440" w:hanging="720"/>
      </w:pPr>
      <w:r>
        <w:t>(</w:t>
      </w:r>
      <w:proofErr w:type="spellStart"/>
      <w:r>
        <w:t>i</w:t>
      </w:r>
      <w:proofErr w:type="spellEnd"/>
      <w:r>
        <w:t>)</w:t>
      </w:r>
      <w:r>
        <w:tab/>
        <w:t>the two members concerned (i.e. the member submitting the complaint and the member who is the subject of the complaint);</w:t>
      </w:r>
    </w:p>
    <w:p w:rsidR="00FB46A4" w:rsidRDefault="00FB46A4" w:rsidP="00FB46A4">
      <w:pPr>
        <w:spacing w:after="0"/>
      </w:pPr>
      <w:r>
        <w:tab/>
        <w:t>(ii)</w:t>
      </w:r>
      <w:r>
        <w:tab/>
        <w:t xml:space="preserve">the Monitoring Officer, and  </w:t>
      </w:r>
    </w:p>
    <w:p w:rsidR="00FB46A4" w:rsidRDefault="00FB46A4" w:rsidP="00FB46A4">
      <w:pPr>
        <w:spacing w:after="0"/>
        <w:ind w:left="1440" w:hanging="720"/>
      </w:pPr>
      <w:r>
        <w:t xml:space="preserve">(iii) </w:t>
      </w:r>
      <w:r>
        <w:tab/>
        <w:t>the persons notified of the complaint by the Monitoring Officer in accordance with the arrangements.</w:t>
      </w:r>
    </w:p>
    <w:p w:rsidR="00FB46A4" w:rsidRDefault="00FB46A4" w:rsidP="00FB46A4">
      <w:pPr>
        <w:spacing w:after="0"/>
      </w:pPr>
    </w:p>
    <w:p w:rsidR="00FB46A4" w:rsidRPr="00FB46A4" w:rsidRDefault="00FB46A4" w:rsidP="00FB46A4">
      <w:pPr>
        <w:pStyle w:val="Heading1"/>
      </w:pPr>
      <w:r>
        <w:t>3.</w:t>
      </w:r>
      <w:r>
        <w:tab/>
        <w:t>Breach of p</w:t>
      </w:r>
      <w:r w:rsidRPr="00FB46A4">
        <w:t>rotocol</w:t>
      </w:r>
    </w:p>
    <w:p w:rsidR="00FB46A4" w:rsidRDefault="00FB46A4" w:rsidP="00FB46A4">
      <w:pPr>
        <w:spacing w:after="0"/>
      </w:pPr>
    </w:p>
    <w:p w:rsidR="00FB46A4" w:rsidRDefault="00FB46A4" w:rsidP="00FB46A4">
      <w:pPr>
        <w:spacing w:after="0"/>
        <w:ind w:left="720" w:hanging="720"/>
      </w:pPr>
      <w:r>
        <w:t>3.1</w:t>
      </w:r>
      <w:r>
        <w:tab/>
        <w:t>On 8 April 2021, Council resolved that compliance with standards protocols shall be deemed to be a requirement of the Local Government Association’s Model Members’ Code of Conduct.</w:t>
      </w:r>
    </w:p>
    <w:p w:rsidR="00FB46A4" w:rsidRDefault="00FB46A4" w:rsidP="00FB46A4">
      <w:pPr>
        <w:spacing w:after="0"/>
      </w:pPr>
    </w:p>
    <w:p w:rsidR="00FB46A4" w:rsidRDefault="00FB46A4" w:rsidP="00FB46A4">
      <w:pPr>
        <w:spacing w:after="0"/>
        <w:ind w:left="720" w:hanging="720"/>
      </w:pPr>
      <w:r>
        <w:t>3.2</w:t>
      </w:r>
      <w:r>
        <w:tab/>
        <w:t>Failure to comply with this protocol could constitute a breach of the members’ code of conduct.</w:t>
      </w:r>
    </w:p>
    <w:p w:rsidR="00FB46A4" w:rsidRDefault="00FB46A4" w:rsidP="00FB46A4">
      <w:pPr>
        <w:spacing w:after="0"/>
      </w:pPr>
    </w:p>
    <w:p w:rsidR="00FB46A4" w:rsidRDefault="00FB46A4" w:rsidP="00FB46A4">
      <w:pPr>
        <w:spacing w:after="0"/>
      </w:pPr>
    </w:p>
    <w:p w:rsidR="00FB46A4" w:rsidRDefault="00FB46A4" w:rsidP="00FB46A4">
      <w:pPr>
        <w:spacing w:after="0"/>
      </w:pPr>
      <w:r>
        <w:t>Adopted by the council on 4 April 2019</w:t>
      </w:r>
    </w:p>
    <w:p w:rsidR="00FB46A4" w:rsidRDefault="00FB46A4" w:rsidP="00FB46A4">
      <w:pPr>
        <w:spacing w:after="0"/>
      </w:pPr>
    </w:p>
    <w:p w:rsidR="00FB46A4" w:rsidRDefault="00FB46A4" w:rsidP="00FB46A4">
      <w:pPr>
        <w:spacing w:after="0"/>
      </w:pPr>
      <w:r>
        <w:t>Amended May 2021 (reference made to the Local Government Association’s Model Members’ Code of Conduct)</w:t>
      </w:r>
    </w:p>
    <w:sectPr w:rsidR="00FB46A4" w:rsidSect="00323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5F4A"/>
    <w:multiLevelType w:val="multilevel"/>
    <w:tmpl w:val="AE5C87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BD"/>
    <w:rsid w:val="00005A96"/>
    <w:rsid w:val="00006F20"/>
    <w:rsid w:val="0002007B"/>
    <w:rsid w:val="00021432"/>
    <w:rsid w:val="00030B88"/>
    <w:rsid w:val="00055FCB"/>
    <w:rsid w:val="00070EBC"/>
    <w:rsid w:val="00085636"/>
    <w:rsid w:val="00085B87"/>
    <w:rsid w:val="000B078F"/>
    <w:rsid w:val="000B452A"/>
    <w:rsid w:val="000B4644"/>
    <w:rsid w:val="000B7119"/>
    <w:rsid w:val="000B77A0"/>
    <w:rsid w:val="000C1DCD"/>
    <w:rsid w:val="000C69F5"/>
    <w:rsid w:val="000F02E3"/>
    <w:rsid w:val="00115C29"/>
    <w:rsid w:val="001178E0"/>
    <w:rsid w:val="0012573E"/>
    <w:rsid w:val="00125EFF"/>
    <w:rsid w:val="0014609A"/>
    <w:rsid w:val="00156BBC"/>
    <w:rsid w:val="001748BE"/>
    <w:rsid w:val="001825CB"/>
    <w:rsid w:val="00187BAB"/>
    <w:rsid w:val="001A187E"/>
    <w:rsid w:val="001B1913"/>
    <w:rsid w:val="001C0E97"/>
    <w:rsid w:val="001E2BC5"/>
    <w:rsid w:val="001E34A7"/>
    <w:rsid w:val="001F37F6"/>
    <w:rsid w:val="002024B7"/>
    <w:rsid w:val="002102EC"/>
    <w:rsid w:val="00214054"/>
    <w:rsid w:val="002239C2"/>
    <w:rsid w:val="0024501F"/>
    <w:rsid w:val="0025702B"/>
    <w:rsid w:val="00265EDC"/>
    <w:rsid w:val="00270E54"/>
    <w:rsid w:val="002729CC"/>
    <w:rsid w:val="002A1FC3"/>
    <w:rsid w:val="002A23E0"/>
    <w:rsid w:val="002B2FA3"/>
    <w:rsid w:val="002B4F69"/>
    <w:rsid w:val="002D05A4"/>
    <w:rsid w:val="002E6786"/>
    <w:rsid w:val="002F0EC7"/>
    <w:rsid w:val="002F3E24"/>
    <w:rsid w:val="002F7F62"/>
    <w:rsid w:val="00310067"/>
    <w:rsid w:val="00312EBE"/>
    <w:rsid w:val="003235BD"/>
    <w:rsid w:val="00326BE2"/>
    <w:rsid w:val="00335606"/>
    <w:rsid w:val="0034536D"/>
    <w:rsid w:val="00347AD0"/>
    <w:rsid w:val="00361D15"/>
    <w:rsid w:val="00393EC9"/>
    <w:rsid w:val="003959FD"/>
    <w:rsid w:val="003A59C1"/>
    <w:rsid w:val="003C5889"/>
    <w:rsid w:val="003D6926"/>
    <w:rsid w:val="003E0FEF"/>
    <w:rsid w:val="003E672D"/>
    <w:rsid w:val="003E6FE6"/>
    <w:rsid w:val="00410027"/>
    <w:rsid w:val="00416921"/>
    <w:rsid w:val="00422A40"/>
    <w:rsid w:val="0042490A"/>
    <w:rsid w:val="00432470"/>
    <w:rsid w:val="00444A90"/>
    <w:rsid w:val="00457AB5"/>
    <w:rsid w:val="00466DAA"/>
    <w:rsid w:val="00471B23"/>
    <w:rsid w:val="00481F69"/>
    <w:rsid w:val="0049017D"/>
    <w:rsid w:val="00491866"/>
    <w:rsid w:val="00491B71"/>
    <w:rsid w:val="00494611"/>
    <w:rsid w:val="004A288A"/>
    <w:rsid w:val="004C5779"/>
    <w:rsid w:val="004C68FA"/>
    <w:rsid w:val="004E210F"/>
    <w:rsid w:val="004E6E16"/>
    <w:rsid w:val="004F20B2"/>
    <w:rsid w:val="00500EE2"/>
    <w:rsid w:val="00504581"/>
    <w:rsid w:val="0051027F"/>
    <w:rsid w:val="0051359E"/>
    <w:rsid w:val="00526294"/>
    <w:rsid w:val="005310CB"/>
    <w:rsid w:val="0054462C"/>
    <w:rsid w:val="00553FDE"/>
    <w:rsid w:val="00567689"/>
    <w:rsid w:val="00577DA8"/>
    <w:rsid w:val="005918CA"/>
    <w:rsid w:val="00592FCA"/>
    <w:rsid w:val="005A1686"/>
    <w:rsid w:val="005A3880"/>
    <w:rsid w:val="005A5E38"/>
    <w:rsid w:val="005B4884"/>
    <w:rsid w:val="005C1EC3"/>
    <w:rsid w:val="005C6D9F"/>
    <w:rsid w:val="005C70AF"/>
    <w:rsid w:val="005D0D48"/>
    <w:rsid w:val="005D4E7A"/>
    <w:rsid w:val="005D5413"/>
    <w:rsid w:val="005E1217"/>
    <w:rsid w:val="005F0E6F"/>
    <w:rsid w:val="005F12F9"/>
    <w:rsid w:val="005F1700"/>
    <w:rsid w:val="005F44F6"/>
    <w:rsid w:val="005F6E30"/>
    <w:rsid w:val="00600A86"/>
    <w:rsid w:val="00601773"/>
    <w:rsid w:val="00633416"/>
    <w:rsid w:val="0064027A"/>
    <w:rsid w:val="00642167"/>
    <w:rsid w:val="00644183"/>
    <w:rsid w:val="00644C03"/>
    <w:rsid w:val="00654A3A"/>
    <w:rsid w:val="006574E1"/>
    <w:rsid w:val="006603F8"/>
    <w:rsid w:val="00660A18"/>
    <w:rsid w:val="006A12DA"/>
    <w:rsid w:val="006B20EA"/>
    <w:rsid w:val="006C364B"/>
    <w:rsid w:val="006C6201"/>
    <w:rsid w:val="006E4CD8"/>
    <w:rsid w:val="006F79F6"/>
    <w:rsid w:val="00714AB9"/>
    <w:rsid w:val="00747FE2"/>
    <w:rsid w:val="00774AD3"/>
    <w:rsid w:val="00775C21"/>
    <w:rsid w:val="00776A40"/>
    <w:rsid w:val="00781BF4"/>
    <w:rsid w:val="00782445"/>
    <w:rsid w:val="00785538"/>
    <w:rsid w:val="007A1EFB"/>
    <w:rsid w:val="007A60B6"/>
    <w:rsid w:val="007B3699"/>
    <w:rsid w:val="007B795E"/>
    <w:rsid w:val="007B7BCC"/>
    <w:rsid w:val="007C1129"/>
    <w:rsid w:val="007C540B"/>
    <w:rsid w:val="007D426B"/>
    <w:rsid w:val="007D6B8E"/>
    <w:rsid w:val="007D7610"/>
    <w:rsid w:val="007E5C9E"/>
    <w:rsid w:val="00800B78"/>
    <w:rsid w:val="00817C52"/>
    <w:rsid w:val="008210EE"/>
    <w:rsid w:val="0082185D"/>
    <w:rsid w:val="008226E0"/>
    <w:rsid w:val="008330E0"/>
    <w:rsid w:val="00834B76"/>
    <w:rsid w:val="008378B1"/>
    <w:rsid w:val="008402CA"/>
    <w:rsid w:val="00852061"/>
    <w:rsid w:val="00872B7B"/>
    <w:rsid w:val="00893175"/>
    <w:rsid w:val="00897C88"/>
    <w:rsid w:val="008B3A92"/>
    <w:rsid w:val="008B7BAC"/>
    <w:rsid w:val="008C25BD"/>
    <w:rsid w:val="008C3B99"/>
    <w:rsid w:val="008C3C22"/>
    <w:rsid w:val="008C560C"/>
    <w:rsid w:val="008C7ACD"/>
    <w:rsid w:val="008D487E"/>
    <w:rsid w:val="008E05DE"/>
    <w:rsid w:val="008E2DE4"/>
    <w:rsid w:val="008E660B"/>
    <w:rsid w:val="008F5FF4"/>
    <w:rsid w:val="008F7D73"/>
    <w:rsid w:val="00920666"/>
    <w:rsid w:val="0092317F"/>
    <w:rsid w:val="00923999"/>
    <w:rsid w:val="009714A9"/>
    <w:rsid w:val="00973326"/>
    <w:rsid w:val="00991C05"/>
    <w:rsid w:val="00997447"/>
    <w:rsid w:val="009B0582"/>
    <w:rsid w:val="009E5689"/>
    <w:rsid w:val="009E5788"/>
    <w:rsid w:val="009E5EA1"/>
    <w:rsid w:val="00A154A1"/>
    <w:rsid w:val="00A22461"/>
    <w:rsid w:val="00A2265E"/>
    <w:rsid w:val="00A3063A"/>
    <w:rsid w:val="00A51B98"/>
    <w:rsid w:val="00A6717D"/>
    <w:rsid w:val="00A73076"/>
    <w:rsid w:val="00A80065"/>
    <w:rsid w:val="00A81A73"/>
    <w:rsid w:val="00A870A0"/>
    <w:rsid w:val="00AA17EA"/>
    <w:rsid w:val="00AA7B99"/>
    <w:rsid w:val="00AB6A43"/>
    <w:rsid w:val="00AC7357"/>
    <w:rsid w:val="00AD4B13"/>
    <w:rsid w:val="00AF5607"/>
    <w:rsid w:val="00AF6CC5"/>
    <w:rsid w:val="00B002C6"/>
    <w:rsid w:val="00B16A37"/>
    <w:rsid w:val="00B22BBF"/>
    <w:rsid w:val="00B27B09"/>
    <w:rsid w:val="00B35C18"/>
    <w:rsid w:val="00B46211"/>
    <w:rsid w:val="00B528C3"/>
    <w:rsid w:val="00B72C8C"/>
    <w:rsid w:val="00B77FAF"/>
    <w:rsid w:val="00B8141C"/>
    <w:rsid w:val="00B9459A"/>
    <w:rsid w:val="00B947E9"/>
    <w:rsid w:val="00B9537E"/>
    <w:rsid w:val="00BB7DA4"/>
    <w:rsid w:val="00BC57D6"/>
    <w:rsid w:val="00BE2232"/>
    <w:rsid w:val="00BE5A78"/>
    <w:rsid w:val="00BF632B"/>
    <w:rsid w:val="00BF712B"/>
    <w:rsid w:val="00C02112"/>
    <w:rsid w:val="00C0441D"/>
    <w:rsid w:val="00C10D1C"/>
    <w:rsid w:val="00C111A7"/>
    <w:rsid w:val="00C23347"/>
    <w:rsid w:val="00C23FF6"/>
    <w:rsid w:val="00C325D8"/>
    <w:rsid w:val="00C576A0"/>
    <w:rsid w:val="00C746B6"/>
    <w:rsid w:val="00C7738B"/>
    <w:rsid w:val="00C843FC"/>
    <w:rsid w:val="00C92DCF"/>
    <w:rsid w:val="00C97D79"/>
    <w:rsid w:val="00CA09ED"/>
    <w:rsid w:val="00CA3450"/>
    <w:rsid w:val="00CB4A61"/>
    <w:rsid w:val="00CE1C07"/>
    <w:rsid w:val="00CE5947"/>
    <w:rsid w:val="00D0286A"/>
    <w:rsid w:val="00D060D3"/>
    <w:rsid w:val="00D1090F"/>
    <w:rsid w:val="00D15BD8"/>
    <w:rsid w:val="00D2433B"/>
    <w:rsid w:val="00D31D7C"/>
    <w:rsid w:val="00D53619"/>
    <w:rsid w:val="00D6193D"/>
    <w:rsid w:val="00D64C64"/>
    <w:rsid w:val="00D6635E"/>
    <w:rsid w:val="00D82BFF"/>
    <w:rsid w:val="00D8453E"/>
    <w:rsid w:val="00D84656"/>
    <w:rsid w:val="00D94B82"/>
    <w:rsid w:val="00DA24C5"/>
    <w:rsid w:val="00DA495C"/>
    <w:rsid w:val="00DB5D8B"/>
    <w:rsid w:val="00DC1F52"/>
    <w:rsid w:val="00DC681A"/>
    <w:rsid w:val="00DE4328"/>
    <w:rsid w:val="00DE538A"/>
    <w:rsid w:val="00E01E81"/>
    <w:rsid w:val="00E03210"/>
    <w:rsid w:val="00E0520D"/>
    <w:rsid w:val="00E27FA6"/>
    <w:rsid w:val="00E3324B"/>
    <w:rsid w:val="00E440CF"/>
    <w:rsid w:val="00E465EC"/>
    <w:rsid w:val="00E57A01"/>
    <w:rsid w:val="00E86980"/>
    <w:rsid w:val="00E93421"/>
    <w:rsid w:val="00EA20C0"/>
    <w:rsid w:val="00EB66F3"/>
    <w:rsid w:val="00EC14DF"/>
    <w:rsid w:val="00EC4B5A"/>
    <w:rsid w:val="00EC59F4"/>
    <w:rsid w:val="00ED49C1"/>
    <w:rsid w:val="00ED551C"/>
    <w:rsid w:val="00ED5FEE"/>
    <w:rsid w:val="00EE2B08"/>
    <w:rsid w:val="00F242DD"/>
    <w:rsid w:val="00F5600B"/>
    <w:rsid w:val="00F57E55"/>
    <w:rsid w:val="00F70FFD"/>
    <w:rsid w:val="00F716CA"/>
    <w:rsid w:val="00F829CD"/>
    <w:rsid w:val="00F91A7A"/>
    <w:rsid w:val="00F95133"/>
    <w:rsid w:val="00FA695D"/>
    <w:rsid w:val="00FB13FC"/>
    <w:rsid w:val="00FB46A4"/>
    <w:rsid w:val="00FC54F1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C5E83-2012-4B02-BFD6-5F3C2470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20D"/>
    <w:pPr>
      <w:spacing w:after="240" w:line="240" w:lineRule="auto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20D"/>
    <w:pPr>
      <w:keepNext/>
      <w:keepLines/>
      <w:spacing w:after="12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20D"/>
    <w:pPr>
      <w:keepNext/>
      <w:keepLines/>
      <w:spacing w:after="0"/>
      <w:outlineLvl w:val="1"/>
    </w:pPr>
    <w:rPr>
      <w:rFonts w:eastAsiaTheme="majorEastAsia" w:cstheme="majorBidi"/>
      <w:b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20D"/>
    <w:pPr>
      <w:keepNext/>
      <w:keepLines/>
      <w:spacing w:after="0"/>
      <w:outlineLvl w:val="2"/>
    </w:pPr>
    <w:rPr>
      <w:rFonts w:eastAsiaTheme="majorEastAsia" w:cstheme="majorBidi"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520D"/>
    <w:rPr>
      <w:rFonts w:ascii="Arial" w:eastAsiaTheme="majorEastAsia" w:hAnsi="Arial" w:cstheme="majorBidi"/>
      <w:b/>
      <w:color w:val="595959" w:themeColor="text1" w:themeTint="A6"/>
      <w:sz w:val="24"/>
      <w:szCs w:val="26"/>
    </w:rPr>
  </w:style>
  <w:style w:type="paragraph" w:customStyle="1" w:styleId="WBCcorporatestylesheet">
    <w:name w:val="WBC corporate style sheet"/>
    <w:basedOn w:val="Title"/>
    <w:qFormat/>
    <w:rsid w:val="00C325D8"/>
  </w:style>
  <w:style w:type="paragraph" w:styleId="Title">
    <w:name w:val="Title"/>
    <w:basedOn w:val="Normal"/>
    <w:next w:val="Normal"/>
    <w:link w:val="TitleChar"/>
    <w:uiPriority w:val="10"/>
    <w:qFormat/>
    <w:rsid w:val="00E0520D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20D"/>
    <w:rPr>
      <w:rFonts w:ascii="Arial" w:eastAsiaTheme="majorEastAsia" w:hAnsi="Arial" w:cstheme="majorBidi"/>
      <w:b/>
      <w:color w:val="000000" w:themeColor="text1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20D"/>
    <w:pPr>
      <w:numPr>
        <w:ilvl w:val="1"/>
      </w:numPr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520D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520D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B05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582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20D"/>
    <w:rPr>
      <w:rFonts w:ascii="Arial" w:eastAsiaTheme="majorEastAsia" w:hAnsi="Arial" w:cstheme="majorBidi"/>
      <w:color w:val="595959" w:themeColor="text1" w:themeTint="A6"/>
      <w:szCs w:val="24"/>
    </w:rPr>
  </w:style>
  <w:style w:type="paragraph" w:styleId="ListParagraph">
    <w:name w:val="List Paragraph"/>
    <w:basedOn w:val="Normal"/>
    <w:uiPriority w:val="34"/>
    <w:qFormat/>
    <w:rsid w:val="0032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1091</Characters>
  <Application>Microsoft Office Word</Application>
  <DocSecurity>0</DocSecurity>
  <Lines>43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Members’ code of conduct: Protocol for members’ access to confidential information of council-owned companies</vt:lpstr>
      <vt:lpstr>/</vt:lpstr>
      <vt:lpstr>1.	Introduction</vt:lpstr>
      <vt:lpstr>2.	Confidentiality</vt:lpstr>
      <vt:lpstr>3.	Breach of protocol</vt:lpstr>
    </vt:vector>
  </TitlesOfParts>
  <Company>Woking Borough Council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Members’ code of conduct: Protocol for members’ access to confidential information of council-owned companies</dc:title>
  <dc:subject/>
  <dc:creator>Kate Mair</dc:creator>
  <cp:keywords/>
  <dc:description/>
  <cp:lastModifiedBy>Kate Mair</cp:lastModifiedBy>
  <cp:revision>3</cp:revision>
  <dcterms:created xsi:type="dcterms:W3CDTF">2021-05-14T14:27:00Z</dcterms:created>
  <dcterms:modified xsi:type="dcterms:W3CDTF">2021-05-14T14:29:00Z</dcterms:modified>
</cp:coreProperties>
</file>